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153FCE"/>
    <w:p w:rsidR="008B42FC" w:rsidRPr="006106A4" w:rsidRDefault="008B42FC" w:rsidP="008B42FC">
      <w:pPr>
        <w:rPr>
          <w:b/>
        </w:rPr>
      </w:pPr>
      <w:r w:rsidRPr="006106A4">
        <w:rPr>
          <w:b/>
        </w:rPr>
        <w:t>Project Systems Acquisition Plan</w:t>
      </w:r>
    </w:p>
    <w:p w:rsidR="008B42FC" w:rsidRDefault="008B42FC" w:rsidP="008B42FC"/>
    <w:p w:rsidR="008B42FC" w:rsidRDefault="008B42FC" w:rsidP="008B42FC">
      <w:r>
        <w:t>Baltzan, P., and Phillips, A. (2015). Business Driven Information Systems (5th ed).</w:t>
      </w:r>
    </w:p>
    <w:p w:rsidR="008B42FC" w:rsidRDefault="008B42FC" w:rsidP="008B42FC">
      <w:r>
        <w:t>Week 3 articles and videos</w:t>
      </w:r>
    </w:p>
    <w:p w:rsidR="008B42FC" w:rsidRDefault="008B42FC" w:rsidP="008B42FC">
      <w:r>
        <w:t>It is recommended students search the Internet for a Systems Acquisition Plan template.</w:t>
      </w:r>
    </w:p>
    <w:p w:rsidR="008B42FC" w:rsidRDefault="008B42FC" w:rsidP="008B42FC">
      <w:r>
        <w:t xml:space="preserve">Scenario: You are an entrepreneur in the process of researching a business development idea. As you create a high-level Information Technology (IT) strategy for your new enterprise, it is important to consider the acquisition of IT resources. A Systems Acquisition Plan will guide the process of identifying enterprise technology needs and acquiring appropriate information systems in the context of your goal to incorporate business driven IT. The Systems Acquisition Plan is intended to describe a high-level process for acquiring and maintaining IT systems. The Systems Acquisition Plan is a working document, which is expected to change over time as new project details emerge. </w:t>
      </w:r>
    </w:p>
    <w:p w:rsidR="008B42FC" w:rsidRDefault="008B42FC" w:rsidP="008B42FC"/>
    <w:p w:rsidR="008B42FC" w:rsidRDefault="008B42FC" w:rsidP="008B42FC">
      <w:r>
        <w:t xml:space="preserve">Create a high-level Project Systems Acquisition Plan for your project in a minimum of 1,050 words that includes the following information:  </w:t>
      </w:r>
    </w:p>
    <w:p w:rsidR="008B42FC" w:rsidRDefault="008B42FC" w:rsidP="008B42FC"/>
    <w:p w:rsidR="008B42FC" w:rsidRDefault="008B42FC" w:rsidP="008B42FC">
      <w:r>
        <w:t>•A description and justification of the specific systems design and development approach (SDLC, RAD, Spiral, outsourcing, etc.) the enterprise will employ</w:t>
      </w:r>
    </w:p>
    <w:p w:rsidR="008B42FC" w:rsidRDefault="008B42FC" w:rsidP="008B42FC">
      <w:r>
        <w:t>•A summary of the steps in the systems acquisition process including initiation, analysis, design, acquisition, and maintenance</w:t>
      </w:r>
    </w:p>
    <w:p w:rsidR="008B42FC" w:rsidRDefault="008B42FC" w:rsidP="008B42FC">
      <w:r>
        <w:t>•A high-level overview of who will participate in each step of the systems acquisition process</w:t>
      </w:r>
    </w:p>
    <w:p w:rsidR="008B42FC" w:rsidRDefault="008B42FC" w:rsidP="008B42FC">
      <w:r>
        <w:t xml:space="preserve">Cite a minimum of 3 peer-reviewed references from the University of Phoenix Library. </w:t>
      </w:r>
    </w:p>
    <w:p w:rsidR="008B42FC" w:rsidRDefault="008B42FC" w:rsidP="008B42FC"/>
    <w:p w:rsidR="008B42FC" w:rsidRDefault="008B42FC" w:rsidP="008B42FC">
      <w:r>
        <w:t>Format consistent with APA guidelines.</w:t>
      </w:r>
    </w:p>
    <w:p w:rsidR="008B42FC" w:rsidRDefault="008B42FC" w:rsidP="008B42FC"/>
    <w:p w:rsidR="008B42FC" w:rsidRDefault="008B42FC" w:rsidP="008B42FC"/>
    <w:p w:rsidR="004C1EA6" w:rsidRDefault="004C1EA6"/>
    <w:p w:rsidR="008B42FC" w:rsidRDefault="008B42FC"/>
    <w:p w:rsidR="008B42FC" w:rsidRDefault="008B42FC"/>
    <w:p w:rsidR="008B42FC" w:rsidRDefault="008B42FC"/>
    <w:p w:rsidR="008B42FC" w:rsidRDefault="008B42FC"/>
    <w:p w:rsidR="008B42FC" w:rsidRDefault="008B42FC"/>
    <w:p w:rsidR="008B42FC" w:rsidRPr="009A504C" w:rsidRDefault="008B42FC" w:rsidP="008B42FC">
      <w:pPr>
        <w:pBdr>
          <w:top w:val="single" w:sz="4" w:space="1" w:color="auto"/>
          <w:left w:val="single" w:sz="4" w:space="4" w:color="auto"/>
          <w:bottom w:val="single" w:sz="4" w:space="1" w:color="auto"/>
          <w:right w:val="single" w:sz="4" w:space="4" w:color="auto"/>
        </w:pBdr>
        <w:rPr>
          <w:b/>
        </w:rPr>
      </w:pPr>
      <w:r w:rsidRPr="009A504C">
        <w:rPr>
          <w:b/>
        </w:rPr>
        <w:t xml:space="preserve">Adaptive sampling plan design methodology for reverse engineering acquisition. </w:t>
      </w:r>
      <w:r>
        <w:rPr>
          <w:b/>
        </w:rPr>
        <w:t>(Peer-review #1)</w:t>
      </w:r>
    </w:p>
    <w:p w:rsidR="008B42FC" w:rsidRDefault="008B42FC" w:rsidP="008B42FC">
      <w:pPr>
        <w:pBdr>
          <w:top w:val="single" w:sz="4" w:space="1" w:color="auto"/>
          <w:left w:val="single" w:sz="4" w:space="4" w:color="auto"/>
          <w:bottom w:val="single" w:sz="4" w:space="1" w:color="auto"/>
          <w:right w:val="single" w:sz="4" w:space="4" w:color="auto"/>
        </w:pBdr>
      </w:pPr>
    </w:p>
    <w:p w:rsidR="008B42FC" w:rsidRDefault="008B42FC" w:rsidP="008B42FC">
      <w:pPr>
        <w:pBdr>
          <w:top w:val="single" w:sz="4" w:space="1" w:color="auto"/>
          <w:left w:val="single" w:sz="4" w:space="4" w:color="auto"/>
          <w:bottom w:val="single" w:sz="4" w:space="1" w:color="auto"/>
          <w:right w:val="single" w:sz="4" w:space="4" w:color="auto"/>
        </w:pBdr>
      </w:pPr>
      <w:r w:rsidRPr="009A504C">
        <w:t>Reverse engineering is a technology which generates a virtual representation of an existing part based on point data acquired through measuring techniques. Different technologies can be employed to obtain a virtual representation of a physical model, but the use of a solution (3D scanner) rather than another provides significantly different results since the available 3D scanners are characterized by different performances (resolution, accuracy, ...). However, even if great attention were focused on the selection of the most appropriate 3D scanner device, this would not be enough to assure the achievement of a consistent virtual representation of the physical model. The selection of the most suitable 3D scanner can contribute to rendering the point acquisition more accurate, but it is not able to assure an efficient point distribution in terms of numbers and locations. These two parameters are part of the acquisition strategy, which can be implemented only after having decided which the 3D scanner is to be used. In order to support the next steps of the reverse engineering cycle (segmentation, fitting, ...), the acquisition phase should provide an organized point cloud, which can be obtained through a consistent sampling plan. For this reason, this paper aims at proposing a methodology for defining a selective sampling plan, whose grid dimensions are related to the complexity of the analyzed local surface regions. [ABSTRACT FROM AUTHOR] DOI: 10.1007/s00170-008-1625-z. (AN: 39563874), Database: Academic Search Complete</w:t>
      </w:r>
    </w:p>
    <w:p w:rsidR="008B42FC" w:rsidRDefault="008B42FC" w:rsidP="008B42FC">
      <w:pPr>
        <w:pBdr>
          <w:top w:val="single" w:sz="4" w:space="1" w:color="auto"/>
          <w:left w:val="single" w:sz="4" w:space="4" w:color="auto"/>
          <w:bottom w:val="single" w:sz="4" w:space="1" w:color="auto"/>
          <w:right w:val="single" w:sz="4" w:space="4" w:color="auto"/>
        </w:pBdr>
      </w:pPr>
    </w:p>
    <w:p w:rsidR="008B42FC" w:rsidRDefault="008B42FC" w:rsidP="008B42FC">
      <w:pPr>
        <w:pBdr>
          <w:top w:val="single" w:sz="4" w:space="1" w:color="auto"/>
          <w:left w:val="single" w:sz="4" w:space="4" w:color="auto"/>
          <w:bottom w:val="single" w:sz="4" w:space="1" w:color="auto"/>
          <w:right w:val="single" w:sz="4" w:space="4" w:color="auto"/>
        </w:pBdr>
      </w:pPr>
      <w:r w:rsidRPr="009A504C">
        <w:t>By: Vezzetti, E. (Sep. 2009) “International Journal of Advanced Manufacturing Technology.” Vol. 42 Issue 7/8, p780-792. 13p. URL: https://web-a-ebscohost-com.contentproxy.phoenix.edu/ehost/results?vid=1&amp;sid=dd58e6bc-81e7-41f9-8472-9236174c0bc4%40sessionmgr4009&amp;bquery=XX+%22acquisition%22%5b100%5d+AND+(XX+%22plan%22%5b78%5d+OR+XX+%22systems%22%5b62%5d)&amp;bdata=JmRiPWE5aCZkYj1hd2gmZGI9cWJoJmRiPWJ0aCZkYj1jY20mZGI9Y2doJmRiPWxzZGNjYSZkYj1jaGgmZGI9Y21yJmRiPXVmaCZkYj1paWgmZGI9aTNoJmRiPWJ0aSZkYj1lb2gmZGI9ZXVlJmRiPWVudCZkYj1lcmljJmRiPThnaCZkYj1oYmgmZGI9aGpoJmRiPXRzaCZkYj1sZ3MmZGI9bHhoJmRiPWxraCZkYj1mNWgmZGI9bWRjJmRiPW1tdCZkYj10ZmgmZGI9YndoJmRiPWU2aCZkYj1lMGgmZGI9c2loJmRiPXN1dyZkYj10cmgmY2xpMD1GVCZjbHYwPVkmdHlwZT0wJnNpdGU9ZWhvc3QtbGl2ZSZzY29wZT1zaXRl</w:t>
      </w:r>
    </w:p>
    <w:p w:rsidR="008B42FC" w:rsidRDefault="008B42FC" w:rsidP="008B42FC"/>
    <w:p w:rsidR="008B42FC" w:rsidRDefault="008B42FC">
      <w:r>
        <w:t xml:space="preserve"> </w:t>
      </w:r>
    </w:p>
    <w:p w:rsidR="008B42FC" w:rsidRDefault="008B42FC"/>
    <w:p w:rsidR="008B42FC" w:rsidRDefault="008B42FC"/>
    <w:p w:rsidR="008B42FC" w:rsidRDefault="008B42FC"/>
    <w:p w:rsidR="008B42FC" w:rsidRDefault="008B42FC"/>
    <w:p w:rsidR="008B42FC" w:rsidRDefault="008B42FC"/>
    <w:p w:rsidR="008B42FC" w:rsidRDefault="008B42FC"/>
    <w:p w:rsidR="008B42FC" w:rsidRPr="009A504C" w:rsidRDefault="008B42FC" w:rsidP="008B42FC">
      <w:pPr>
        <w:pBdr>
          <w:top w:val="single" w:sz="4" w:space="1" w:color="auto"/>
          <w:left w:val="single" w:sz="4" w:space="4" w:color="auto"/>
          <w:bottom w:val="single" w:sz="4" w:space="1" w:color="auto"/>
          <w:right w:val="single" w:sz="4" w:space="4" w:color="auto"/>
        </w:pBdr>
        <w:rPr>
          <w:b/>
        </w:rPr>
      </w:pPr>
      <w:r w:rsidRPr="009A504C">
        <w:rPr>
          <w:b/>
        </w:rPr>
        <w:t xml:space="preserve">A comprehensive data acquisition and management system for an ecosystem-scale peatland warming and elevated CO2 experiment. </w:t>
      </w:r>
      <w:r>
        <w:rPr>
          <w:b/>
        </w:rPr>
        <w:t>(Peer-review) (2)</w:t>
      </w:r>
    </w:p>
    <w:p w:rsidR="008B42FC" w:rsidRDefault="008B42FC" w:rsidP="008B42FC">
      <w:pPr>
        <w:pBdr>
          <w:top w:val="single" w:sz="4" w:space="1" w:color="auto"/>
          <w:left w:val="single" w:sz="4" w:space="4" w:color="auto"/>
          <w:bottom w:val="single" w:sz="4" w:space="1" w:color="auto"/>
          <w:right w:val="single" w:sz="4" w:space="4" w:color="auto"/>
        </w:pBdr>
      </w:pPr>
      <w:r w:rsidRPr="009A504C">
        <w:t>Ecosystem-scale manipulation experiments represent large science investments that require well-designed data acquisition and management systems to provide reliable, accurate information to project participants and third-party users. The SPRUCE Project (Spruce and Peatland Responses Under Climatic and Environmental Change, http: //mnspruce.ornl.gov) is such an experiment funded by the Department of Energy's (DOE), Oce of Science, Terrestrial Ecosystem Science (TES) Program. The SPRUCE experimental mission is to assess ecosystem-level biological responses of vulnerable, high carbon terrestrial ecosystems to a range of climate warming manipulations and an elevated CO2 atmosphere. SPRUCE provides a platform for testing mechanisms controlling the vulnerability of organisms, biogeochemical processes, and ecosystems to climatic change (e.g., thresholds for organism decline or mortality, limitations to regeneration, biogeochemical limitations to productivity, the cycling and release of CO2 and CH4 to the atmosphere). The SPRUCE experiment will generate a wide range of continuous and discrete measurements. To successfully manage SPRUCE data collection, achieve SPRUCE science objectives, and support broader climate change research, the research staff has designed a flexible data system using proven network technologies and software components. The primary SPRUCE data system components are: 1. Data acquisition and control system - set of hardware and software to retrieve biological and engineering data from sensors, collect sensor status information, and distribute feedback to control components. 2. Data collection system - set of hardware and software to deliver data to a central depository for storage and further processing. 25 3. Data management plan - set of plans, policies, and practices to control consistency, protect data integrity, and deliver data. This publication presents our approach to meeting the challenges of designing and constructing an efficient data system for managing high volume sources of in-situ observations in a remote, harsh environmental location. The approach covers data flow starting from the sensors and ending at the archival/distribution points, discusses types of hardware and software used, examines design considerations that were used to choose them, and describes the data management practices chosen to control and enhance the value of the data. [ABSTRACT FROM AUTHOR] DOI: 10.5194/gid-5-177-2015. (AN: 109945740), Database: Academic Search Complete</w:t>
      </w:r>
    </w:p>
    <w:p w:rsidR="008B42FC" w:rsidRDefault="008B42FC" w:rsidP="008B42FC">
      <w:pPr>
        <w:pBdr>
          <w:top w:val="single" w:sz="4" w:space="1" w:color="auto"/>
          <w:left w:val="single" w:sz="4" w:space="4" w:color="auto"/>
          <w:bottom w:val="single" w:sz="4" w:space="1" w:color="auto"/>
          <w:right w:val="single" w:sz="4" w:space="4" w:color="auto"/>
        </w:pBdr>
      </w:pPr>
      <w:r w:rsidRPr="009A504C">
        <w:t xml:space="preserve">Krassovski, M. B.; Riggs, J. S.; Hook, L. A.; Nettles, W. R.; Hanson, P. J.; Boden, T. A. </w:t>
      </w:r>
      <w:r>
        <w:t>(2015) “</w:t>
      </w:r>
      <w:r w:rsidRPr="009A504C">
        <w:t>Geoscientific Instrumentation, Methods &amp; Data Systems Discussions (GID).</w:t>
      </w:r>
      <w:r>
        <w:t>”</w:t>
      </w:r>
      <w:r w:rsidRPr="009A504C">
        <w:t xml:space="preserve">  Vol. 5 Issue 2, p177-205. 29p</w:t>
      </w:r>
      <w:r>
        <w:t xml:space="preserve">. URL: </w:t>
      </w:r>
      <w:r w:rsidRPr="009A504C">
        <w:t>https://web-a-ebscohost-com.contentproxy.phoenix.edu/ehost/results?vid=1&amp;sid=dd58e6bc-81e7-41f9-8472-9236174c0bc4%40sessionmgr4009&amp;bquery=XX+%22acquisition%22%5b100%5d+AND+(XX+%22plan%22%5b78%5d+OR+XX+%22systems%22%5b62%5d)&amp;bdata=JmRiPWE5aCZkYj1hd2gmZGI9cWJoJmRiPWJ0aCZkYj1jY20mZGI9Y2doJmRiPWxzZGNjYSZkYj1jaGgmZGI9Y21yJmRiPXVmaCZkYj1paWgmZGI9aTNoJmRiPWJ0aSZkYj1lb2gmZGI9ZXVlJmRiPWVudCZkYj1lcmljJmRiPThnaCZkYj1oYmgmZGI9aGpoJmRiPXRzaCZkYj1sZ3MmZGI9bHhoJmRiPWxraCZkYj1mNWgmZGI9bWRjJmRiPW1tdCZkYj10ZmgmZGI9YndoJmRiPWU2aCZkYj1lMGgmZGI9c2loJmRiPXN1dyZkYj10cmgmY2xpMD1GVCZjbHYwPVkmdHlwZT0wJnNpdGU9ZWhvc3QtbGl2ZSZzY29wZT1zaXRl</w:t>
      </w:r>
    </w:p>
    <w:p w:rsidR="008B42FC" w:rsidRDefault="008B42FC" w:rsidP="008B42FC">
      <w:pPr>
        <w:pBdr>
          <w:top w:val="single" w:sz="4" w:space="1" w:color="auto"/>
          <w:left w:val="single" w:sz="4" w:space="4" w:color="auto"/>
          <w:bottom w:val="single" w:sz="4" w:space="1" w:color="auto"/>
          <w:right w:val="single" w:sz="4" w:space="4" w:color="auto"/>
        </w:pBdr>
      </w:pPr>
    </w:p>
    <w:p w:rsidR="001B50B1" w:rsidRDefault="001B50B1" w:rsidP="001B50B1"/>
    <w:p w:rsidR="001B50B1" w:rsidRPr="002137F2" w:rsidRDefault="001B50B1" w:rsidP="001B50B1">
      <w:pPr>
        <w:pBdr>
          <w:top w:val="single" w:sz="4" w:space="1" w:color="auto"/>
          <w:left w:val="single" w:sz="4" w:space="4" w:color="auto"/>
          <w:bottom w:val="single" w:sz="4" w:space="1" w:color="auto"/>
          <w:right w:val="single" w:sz="4" w:space="4" w:color="auto"/>
        </w:pBdr>
        <w:rPr>
          <w:b/>
        </w:rPr>
      </w:pPr>
      <w:r w:rsidRPr="002137F2">
        <w:rPr>
          <w:b/>
        </w:rPr>
        <w:t>Acquisition Strategy Main Elements [1] Peer-review # (3)</w:t>
      </w:r>
    </w:p>
    <w:p w:rsidR="001B50B1" w:rsidRDefault="001B50B1" w:rsidP="001B50B1">
      <w:pPr>
        <w:pBdr>
          <w:top w:val="single" w:sz="4" w:space="1" w:color="auto"/>
          <w:left w:val="single" w:sz="4" w:space="4" w:color="auto"/>
          <w:bottom w:val="single" w:sz="4" w:space="1" w:color="auto"/>
          <w:right w:val="single" w:sz="4" w:space="4" w:color="auto"/>
        </w:pBdr>
      </w:pPr>
    </w:p>
    <w:p w:rsidR="001B50B1" w:rsidRDefault="001B50B1" w:rsidP="001B50B1">
      <w:pPr>
        <w:pBdr>
          <w:top w:val="single" w:sz="4" w:space="1" w:color="auto"/>
          <w:left w:val="single" w:sz="4" w:space="4" w:color="auto"/>
          <w:bottom w:val="single" w:sz="4" w:space="1" w:color="auto"/>
          <w:right w:val="single" w:sz="4" w:space="4" w:color="auto"/>
        </w:pBdr>
      </w:pPr>
    </w:p>
    <w:p w:rsidR="008B42FC" w:rsidRDefault="002137F2" w:rsidP="001B50B1">
      <w:pPr>
        <w:pBdr>
          <w:top w:val="single" w:sz="4" w:space="1" w:color="auto"/>
          <w:left w:val="single" w:sz="4" w:space="4" w:color="auto"/>
          <w:bottom w:val="single" w:sz="4" w:space="1" w:color="auto"/>
          <w:right w:val="single" w:sz="4" w:space="4" w:color="auto"/>
        </w:pBdr>
      </w:pPr>
      <w:r w:rsidRPr="002137F2">
        <w:t xml:space="preserve">Acquisition Process. Acquisition Strategy. The Acquisition Strategy is a comprehensive plan that identifies and describes the acquisition approach that Program Management will follow to manage program risks and meet program </w:t>
      </w:r>
      <w:r w:rsidRPr="002137F2">
        <w:t>objectives. Dec</w:t>
      </w:r>
      <w:r w:rsidRPr="002137F2">
        <w:t xml:space="preserve"> 26, 2018</w:t>
      </w:r>
    </w:p>
    <w:p w:rsidR="002137F2" w:rsidRDefault="002137F2" w:rsidP="001B50B1">
      <w:pPr>
        <w:pBdr>
          <w:top w:val="single" w:sz="4" w:space="1" w:color="auto"/>
          <w:left w:val="single" w:sz="4" w:space="4" w:color="auto"/>
          <w:bottom w:val="single" w:sz="4" w:space="1" w:color="auto"/>
          <w:right w:val="single" w:sz="4" w:space="4" w:color="auto"/>
        </w:pBdr>
      </w:pPr>
    </w:p>
    <w:p w:rsidR="002137F2" w:rsidRDefault="002137F2" w:rsidP="001B50B1">
      <w:pPr>
        <w:pBdr>
          <w:top w:val="single" w:sz="4" w:space="1" w:color="auto"/>
          <w:left w:val="single" w:sz="4" w:space="4" w:color="auto"/>
          <w:bottom w:val="single" w:sz="4" w:space="1" w:color="auto"/>
          <w:right w:val="single" w:sz="4" w:space="4" w:color="auto"/>
        </w:pBdr>
      </w:pPr>
      <w:r>
        <w:t>The Acquisition Strategy is a comprehensive plan that identifies and describes the acquisition approach that Program Management will follow to manage program risks and meet program objectives. The Acquisition Strategy guides program execution across the entire program life cycle and is updated at every major milestone and review.  An approved plan is required by DoD Instruction 5000.02 “Operation of the Defense Acquisition System” prior to Milestone A and before any Request for Proposal (RFP) release for the Engineering and Manufacturing Development (EMD) phase. The acquisition strategy is also updated at Milestone B, Milestone C and Full Rate Production Decision (FRPD) review.</w:t>
      </w:r>
    </w:p>
    <w:p w:rsidR="002137F2" w:rsidRDefault="002137F2" w:rsidP="001B50B1">
      <w:pPr>
        <w:pBdr>
          <w:top w:val="single" w:sz="4" w:space="1" w:color="auto"/>
          <w:left w:val="single" w:sz="4" w:space="4" w:color="auto"/>
          <w:bottom w:val="single" w:sz="4" w:space="1" w:color="auto"/>
          <w:right w:val="single" w:sz="4" w:space="4" w:color="auto"/>
        </w:pBdr>
      </w:pPr>
      <w:r>
        <w:t>Acquisition Process</w:t>
      </w:r>
      <w:r>
        <w:t>/</w:t>
      </w:r>
      <w:r>
        <w:t>Acquisition Strategy</w:t>
      </w:r>
    </w:p>
    <w:p w:rsidR="002137F2" w:rsidRDefault="002137F2" w:rsidP="001B50B1">
      <w:pPr>
        <w:pBdr>
          <w:top w:val="single" w:sz="4" w:space="1" w:color="auto"/>
          <w:left w:val="single" w:sz="4" w:space="4" w:color="auto"/>
          <w:bottom w:val="single" w:sz="4" w:space="1" w:color="auto"/>
          <w:right w:val="single" w:sz="4" w:space="4" w:color="auto"/>
        </w:pBdr>
      </w:pPr>
      <w:r>
        <w:t>Business Strategy: Address the main contracting approach, including contract types; how competition will be sought, promoted, and sustained; source selection procedures, provisions, and sources; product support considerations; and leasing arrangements.</w:t>
      </w:r>
    </w:p>
    <w:p w:rsidR="002137F2" w:rsidRDefault="002137F2" w:rsidP="001B50B1">
      <w:pPr>
        <w:pBdr>
          <w:top w:val="single" w:sz="4" w:space="1" w:color="auto"/>
          <w:left w:val="single" w:sz="4" w:space="4" w:color="auto"/>
          <w:bottom w:val="single" w:sz="4" w:space="1" w:color="auto"/>
          <w:right w:val="single" w:sz="4" w:space="4" w:color="auto"/>
        </w:pBdr>
      </w:pPr>
      <w:r>
        <w:t>Contracting Strategy: Explain and, to the extent necessary, provide the analysis and rationale for the contracting strategy. Justify the use of fixed-price or cost-plus vehicles. Explain why the incentives provided were chosen and why there is confidence that they will successfully motivate the contractor to provide the performance desired by the government.</w:t>
      </w:r>
      <w:bookmarkStart w:id="0" w:name="_GoBack"/>
      <w:bookmarkEnd w:id="0"/>
    </w:p>
    <w:p w:rsidR="002137F2" w:rsidRDefault="002137F2" w:rsidP="001B50B1">
      <w:pPr>
        <w:pBdr>
          <w:top w:val="single" w:sz="4" w:space="1" w:color="auto"/>
          <w:left w:val="single" w:sz="4" w:space="4" w:color="auto"/>
          <w:bottom w:val="single" w:sz="4" w:space="1" w:color="auto"/>
          <w:right w:val="single" w:sz="4" w:space="4" w:color="auto"/>
        </w:pBdr>
      </w:pPr>
      <w:r>
        <w:t>Major Contract(s): Identify the number and type of contracts, deliverable items, options, exit criteria, contracting plan (competitive versus sole source and future down-select options), along with any other considerations.</w:t>
      </w:r>
    </w:p>
    <w:p w:rsidR="002137F2" w:rsidRDefault="002137F2" w:rsidP="001B50B1">
      <w:pPr>
        <w:pBdr>
          <w:top w:val="single" w:sz="4" w:space="1" w:color="auto"/>
          <w:left w:val="single" w:sz="4" w:space="4" w:color="auto"/>
          <w:bottom w:val="single" w:sz="4" w:space="1" w:color="auto"/>
          <w:right w:val="single" w:sz="4" w:space="4" w:color="auto"/>
        </w:pBdr>
      </w:pPr>
      <w:r>
        <w:t>Incentives: For each major contract, describe the contract incentives in detail. State how contract incentives are going to be employed to achieve required cost, schedule, and performance outcomes. If more than one incentive is planned for a contract, the Technology Development Strategy (TDS) and Acquisition Strategy should explain how the incentives complement each other and do not interfere with one another.</w:t>
      </w:r>
    </w:p>
    <w:p w:rsidR="002137F2" w:rsidRDefault="002137F2" w:rsidP="001B50B1">
      <w:pPr>
        <w:pBdr>
          <w:top w:val="single" w:sz="4" w:space="1" w:color="auto"/>
          <w:left w:val="single" w:sz="4" w:space="4" w:color="auto"/>
          <w:bottom w:val="single" w:sz="4" w:space="1" w:color="auto"/>
          <w:right w:val="single" w:sz="4" w:space="4" w:color="auto"/>
        </w:pBdr>
      </w:pPr>
      <w:r>
        <w:t>Technical Data Management: The strategy for Acquisition Category (ACAT) I and II programs shall assess the long-term technical data needs for the system and reflect that assessment in both the TDS and the acquisition strategy.</w:t>
      </w:r>
    </w:p>
    <w:p w:rsidR="002137F2" w:rsidRDefault="002137F2" w:rsidP="001B50B1">
      <w:pPr>
        <w:pBdr>
          <w:top w:val="single" w:sz="4" w:space="1" w:color="auto"/>
          <w:left w:val="single" w:sz="4" w:space="4" w:color="auto"/>
          <w:bottom w:val="single" w:sz="4" w:space="1" w:color="auto"/>
          <w:right w:val="single" w:sz="4" w:space="4" w:color="auto"/>
        </w:pBdr>
      </w:pPr>
      <w:r>
        <w:t xml:space="preserve">Sustainment: The acquisition strategy should provide an overview of the sustainment-related contract(s) and performance-based agreements, with government and industry providers describing how the integrated product support package will be acquired for the system being supported. The discussion </w:t>
      </w:r>
      <w:r>
        <w:lastRenderedPageBreak/>
        <w:t>should include the contract/agreement and length, along with major terms and conditions; performance measures being used; and the portion of the system covered with the associated sustainment-related functions, plus hardware and data covered in each contract/agreement.</w:t>
      </w:r>
    </w:p>
    <w:p w:rsidR="008B42FC" w:rsidRDefault="008B42FC" w:rsidP="001B50B1">
      <w:pPr>
        <w:pBdr>
          <w:top w:val="single" w:sz="4" w:space="1" w:color="auto"/>
          <w:left w:val="single" w:sz="4" w:space="4" w:color="auto"/>
          <w:bottom w:val="single" w:sz="4" w:space="1" w:color="auto"/>
          <w:right w:val="single" w:sz="4" w:space="4" w:color="auto"/>
        </w:pBdr>
      </w:pPr>
    </w:p>
    <w:p w:rsidR="008B42FC" w:rsidRDefault="001B50B1" w:rsidP="001B50B1">
      <w:pPr>
        <w:pBdr>
          <w:top w:val="single" w:sz="4" w:space="1" w:color="auto"/>
          <w:left w:val="single" w:sz="4" w:space="4" w:color="auto"/>
          <w:bottom w:val="single" w:sz="4" w:space="1" w:color="auto"/>
          <w:right w:val="single" w:sz="4" w:space="4" w:color="auto"/>
        </w:pBdr>
      </w:pPr>
      <w:r>
        <w:t>Manning, Berton (Dec. 2018) “Acquisition</w:t>
      </w:r>
      <w:r w:rsidRPr="001B50B1">
        <w:t xml:space="preserve"> Process/Acquisition Strategy</w:t>
      </w:r>
      <w:r>
        <w:t xml:space="preserve">”/Retrieved from, </w:t>
      </w:r>
      <w:r w:rsidRPr="001B50B1">
        <w:t>http://acqnotes.com/acqnote/acquisitions/acquisition-strategy</w:t>
      </w:r>
    </w:p>
    <w:p w:rsidR="008B42FC" w:rsidRDefault="008B42FC" w:rsidP="001B50B1">
      <w:pPr>
        <w:pBdr>
          <w:top w:val="single" w:sz="4" w:space="1" w:color="auto"/>
          <w:left w:val="single" w:sz="4" w:space="4" w:color="auto"/>
          <w:bottom w:val="single" w:sz="4" w:space="1" w:color="auto"/>
          <w:right w:val="single" w:sz="4" w:space="4" w:color="auto"/>
        </w:pBdr>
      </w:pPr>
    </w:p>
    <w:sectPr w:rsidR="008B4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A6"/>
    <w:rsid w:val="00153FCE"/>
    <w:rsid w:val="001B50B1"/>
    <w:rsid w:val="002137F2"/>
    <w:rsid w:val="004C1EA6"/>
    <w:rsid w:val="00505587"/>
    <w:rsid w:val="008970CB"/>
    <w:rsid w:val="008B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AF4D"/>
  <w15:chartTrackingRefBased/>
  <w15:docId w15:val="{8E6354BC-C19C-402F-A8E3-D5FF8FA1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2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2019-03-01T18:01:00Z</dcterms:created>
  <dcterms:modified xsi:type="dcterms:W3CDTF">2019-03-01T18:01:00Z</dcterms:modified>
</cp:coreProperties>
</file>